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38" w:rsidRPr="00BA0C75" w:rsidRDefault="00302185" w:rsidP="00302185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635</wp:posOffset>
            </wp:positionV>
            <wp:extent cx="981075" cy="723900"/>
            <wp:effectExtent l="19050" t="0" r="9525" b="0"/>
            <wp:wrapSquare wrapText="bothSides"/>
            <wp:docPr id="12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2185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38735</wp:posOffset>
            </wp:positionV>
            <wp:extent cx="981075" cy="723900"/>
            <wp:effectExtent l="19050" t="0" r="9525" b="0"/>
            <wp:wrapSquare wrapText="bothSides"/>
            <wp:docPr id="13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738"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République Algérienne Démocratique et populaire</w:t>
      </w:r>
    </w:p>
    <w:p w:rsidR="002E5738" w:rsidRPr="00BA0C75" w:rsidRDefault="002E5738" w:rsidP="00302185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Ministère de l’Enseignement </w:t>
      </w:r>
      <w:r w:rsidR="00B65A54"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Supérieur</w:t>
      </w:r>
    </w:p>
    <w:p w:rsidR="002E5738" w:rsidRPr="00BA0C75" w:rsidRDefault="002E5738" w:rsidP="00302185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Et de la Recherche Scientifique</w:t>
      </w:r>
    </w:p>
    <w:p w:rsidR="002E5738" w:rsidRPr="00B65A54" w:rsidRDefault="005E0AD0" w:rsidP="00302185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</w:pPr>
      <w:r w:rsidRPr="005E0AD0">
        <w:rPr>
          <w:rFonts w:ascii="Arabic Typesetting" w:eastAsia="Calibri" w:hAnsi="Arabic Typesetting" w:cs="Arabic Typesetting"/>
          <w:b/>
          <w:bCs/>
          <w:noProof/>
          <w:sz w:val="40"/>
          <w:szCs w:val="40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42.15pt;margin-top:17.3pt;width:287.65pt;height:74.25pt;z-index:251660288;mso-wrap-style:non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2E5738" w:rsidRDefault="00F30DC2" w:rsidP="00302185">
                  <w:pPr>
                    <w:bidi/>
                    <w:spacing w:line="240" w:lineRule="auto"/>
                    <w:contextualSpacing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34.4pt;height:44.4pt" fillcolor="black">
                        <v:shadow color="#868686"/>
                        <v:textpath style="font-family:&quot;Times New Roman&quot;;font-size:16pt;font-weight:bold;v-text-kern:t" trim="t" fitpath="t" string="Fiche technique pour&#10; La Spécialité:&#10;Master Protection des Ecosystèmes"/>
                      </v:shape>
                    </w:pict>
                  </w:r>
                </w:p>
              </w:txbxContent>
            </v:textbox>
          </v:shape>
        </w:pict>
      </w:r>
      <w:r w:rsidR="002E5738" w:rsidRPr="00B65A54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t>Université Ferhat Abbas Sétif 1</w:t>
      </w: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F30DC2" w:rsidRPr="00B11968" w:rsidRDefault="00F30DC2" w:rsidP="00F30DC2">
      <w:pPr>
        <w:spacing w:line="240" w:lineRule="auto"/>
        <w:ind w:left="426"/>
        <w:contextualSpacing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Faculté </w:t>
      </w:r>
      <w:r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:</w:t>
      </w:r>
      <w:r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Sciences de la nature et de la vie. </w:t>
      </w:r>
    </w:p>
    <w:p w:rsidR="00F30DC2" w:rsidRPr="00B11968" w:rsidRDefault="00F30DC2" w:rsidP="00F30DC2">
      <w:pPr>
        <w:spacing w:line="300" w:lineRule="exact"/>
        <w:ind w:left="426"/>
        <w:contextualSpacing/>
        <w:jc w:val="both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Département :</w:t>
      </w:r>
      <w:r w:rsidRPr="009F2E0C"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Ecologie et Environnement</w:t>
      </w:r>
    </w:p>
    <w:p w:rsidR="00F30DC2" w:rsidRPr="00B11968" w:rsidRDefault="00F30DC2" w:rsidP="00F30DC2">
      <w:pPr>
        <w:spacing w:line="300" w:lineRule="exact"/>
        <w:ind w:left="426"/>
        <w:contextualSpacing/>
        <w:jc w:val="both"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Domaine :</w:t>
      </w:r>
      <w:r w:rsidRPr="009F2E0C"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Sciences de la nature et de la vie</w:t>
      </w:r>
    </w:p>
    <w:p w:rsidR="00F30DC2" w:rsidRPr="00B11968" w:rsidRDefault="00F30DC2" w:rsidP="00F30DC2">
      <w:pPr>
        <w:spacing w:line="300" w:lineRule="exact"/>
        <w:ind w:left="426"/>
        <w:contextualSpacing/>
        <w:jc w:val="both"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Filière :</w:t>
      </w:r>
      <w:r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 Ecologie et Environnement</w:t>
      </w:r>
    </w:p>
    <w:p w:rsidR="00F30DC2" w:rsidRPr="00BC730C" w:rsidRDefault="00F30DC2" w:rsidP="00F30DC2">
      <w:pPr>
        <w:spacing w:line="300" w:lineRule="exact"/>
        <w:ind w:left="426"/>
        <w:contextualSpacing/>
        <w:jc w:val="both"/>
        <w:rPr>
          <w:rFonts w:ascii="Arabic Typesetting" w:eastAsia="Calibri" w:hAnsi="Arabic Typesetting" w:cs="Arabic Typesetting"/>
          <w:sz w:val="32"/>
          <w:szCs w:val="32"/>
          <w:lang w:eastAsia="en-US" w:bidi="ar-DZ"/>
        </w:rPr>
      </w:pPr>
      <w:r w:rsidRPr="00683D07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.6pt;margin-top:22.35pt;width:536.25pt;height:0;flip:x;z-index:251658240" o:connectortype="straight" strokecolor="#4f81bd [3204]" strokeweight="2.5pt">
            <v:shadow color="#868686"/>
          </v:shape>
        </w:pict>
      </w: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Spécialité</w:t>
      </w: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 </w:t>
      </w:r>
      <w:r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: </w:t>
      </w:r>
      <w:r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Master </w:t>
      </w:r>
      <w:r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Protection des Ecosystèmes</w:t>
      </w:r>
    </w:p>
    <w:p w:rsidR="00C85E1B" w:rsidRPr="00BC730C" w:rsidRDefault="00C85E1B" w:rsidP="00BC730C">
      <w:pPr>
        <w:spacing w:line="300" w:lineRule="exact"/>
        <w:contextualSpacing/>
        <w:rPr>
          <w:rFonts w:ascii="Arabic Typesetting" w:eastAsia="Calibri" w:hAnsi="Arabic Typesetting" w:cs="Arabic Typesetting"/>
          <w:sz w:val="32"/>
          <w:szCs w:val="32"/>
          <w:lang w:eastAsia="en-US" w:bidi="ar-DZ"/>
        </w:rPr>
      </w:pPr>
    </w:p>
    <w:p w:rsidR="00C85E1B" w:rsidRPr="006D79EC" w:rsidRDefault="00C85E1B" w:rsidP="00424919">
      <w:pPr>
        <w:pStyle w:val="Paragraphedeliste"/>
        <w:numPr>
          <w:ilvl w:val="0"/>
          <w:numId w:val="4"/>
        </w:numPr>
        <w:spacing w:line="240" w:lineRule="auto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Présentation 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/>
        </w:rPr>
        <w:t xml:space="preserve">et 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</w:t>
      </w:r>
      <w:r w:rsidR="00424919"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bjectif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/>
        </w:rPr>
        <w:t xml:space="preserve"> </w:t>
      </w:r>
      <w:r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de la Spécialité</w:t>
      </w:r>
      <w:r w:rsid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F30DC2" w:rsidRPr="00F30DC2" w:rsidRDefault="00F30DC2" w:rsidP="00F30DC2">
      <w:pPr>
        <w:tabs>
          <w:tab w:val="left" w:pos="426"/>
        </w:tabs>
        <w:spacing w:after="0" w:line="240" w:lineRule="auto"/>
        <w:ind w:left="720"/>
        <w:jc w:val="both"/>
        <w:rPr>
          <w:rFonts w:asciiTheme="majorBidi" w:eastAsia="Times New Roman" w:hAnsiTheme="majorBidi" w:cstheme="majorBidi"/>
          <w:bCs/>
          <w:sz w:val="24"/>
          <w:szCs w:val="20"/>
          <w:lang w:eastAsia="zh-CN"/>
        </w:rPr>
      </w:pPr>
      <w:r w:rsidRPr="00F30DC2">
        <w:rPr>
          <w:rFonts w:asciiTheme="majorBidi" w:eastAsia="Times New Roman" w:hAnsiTheme="majorBidi" w:cstheme="majorBidi"/>
          <w:bCs/>
          <w:sz w:val="24"/>
          <w:szCs w:val="20"/>
          <w:lang w:eastAsia="zh-CN"/>
        </w:rPr>
        <w:t>Le master Protection des écosystèmes forme des spécialistes capables de gérer et conserver la biodiversité à l’aide d’outils et de méthodes adaptés, en s’appuyant sur une compréhension approfondie des organismes vivants et de leurs interactions avec l’environnement.</w:t>
      </w:r>
    </w:p>
    <w:p w:rsidR="00F30DC2" w:rsidRPr="00F30DC2" w:rsidRDefault="00F30DC2" w:rsidP="00F30DC2">
      <w:pPr>
        <w:tabs>
          <w:tab w:val="left" w:pos="426"/>
        </w:tabs>
        <w:spacing w:after="0" w:line="240" w:lineRule="auto"/>
        <w:ind w:left="720"/>
        <w:jc w:val="both"/>
        <w:rPr>
          <w:rFonts w:asciiTheme="majorBidi" w:eastAsia="SimSun" w:hAnsiTheme="majorBidi" w:cstheme="majorBidi"/>
          <w:sz w:val="24"/>
          <w:szCs w:val="24"/>
          <w:lang w:eastAsia="zh-CN"/>
        </w:rPr>
      </w:pPr>
      <w:r w:rsidRPr="00F30DC2">
        <w:rPr>
          <w:rFonts w:asciiTheme="majorBidi" w:eastAsia="Times New Roman" w:hAnsiTheme="majorBidi" w:cstheme="majorBidi"/>
          <w:bCs/>
          <w:sz w:val="24"/>
          <w:szCs w:val="20"/>
          <w:lang w:eastAsia="zh-CN"/>
        </w:rPr>
        <w:t>Le parcours « Protection des écosystèmes » prépare à la gestion des aires protégées et à la résolution des problèmes liés à l’usage durable des ressources naturelles, avec une attention particulière à la conservation en contexte de changement climatique.</w:t>
      </w:r>
    </w:p>
    <w:p w:rsidR="00F30DC2" w:rsidRPr="00F30DC2" w:rsidRDefault="00F30DC2" w:rsidP="00F30DC2">
      <w:pPr>
        <w:pStyle w:val="Paragraphedeliste"/>
        <w:spacing w:line="240" w:lineRule="auto"/>
        <w:ind w:left="786"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  <w:r w:rsidRPr="00F30DC2">
        <w:rPr>
          <w:rFonts w:asciiTheme="majorBidi" w:eastAsia="SimSun" w:hAnsiTheme="majorBidi" w:cstheme="majorBidi"/>
          <w:sz w:val="24"/>
          <w:szCs w:val="24"/>
          <w:lang w:eastAsia="zh-CN"/>
        </w:rPr>
        <w:t>La formation adopte une approche pluridisciplinaire prenant en compte les dimensions écologiques, socio-économiques et environnementales de la gestion durable des ressources naturelles</w:t>
      </w:r>
    </w:p>
    <w:p w:rsidR="0092166C" w:rsidRPr="0092166C" w:rsidRDefault="00424919" w:rsidP="00F30DC2">
      <w:pPr>
        <w:pStyle w:val="Paragraphedeliste"/>
        <w:numPr>
          <w:ilvl w:val="0"/>
          <w:numId w:val="4"/>
        </w:numPr>
        <w:spacing w:line="240" w:lineRule="auto"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Conditions d’accès</w:t>
      </w:r>
      <w:r w:rsid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F30DC2" w:rsidRPr="003A543D" w:rsidRDefault="00F30DC2" w:rsidP="00F30DC2">
      <w:pPr>
        <w:pStyle w:val="Paragraphedeliste"/>
        <w:ind w:left="786" w:right="55"/>
        <w:jc w:val="both"/>
        <w:rPr>
          <w:rFonts w:asciiTheme="majorBidi" w:eastAsia="Times New Roman" w:hAnsiTheme="majorBidi" w:cstheme="majorBidi"/>
          <w:sz w:val="24"/>
          <w:szCs w:val="24"/>
          <w:lang w:eastAsia="ar-SA"/>
        </w:rPr>
      </w:pPr>
      <w:r w:rsidRPr="003A543D">
        <w:rPr>
          <w:rFonts w:asciiTheme="majorBidi" w:eastAsia="Times New Roman" w:hAnsiTheme="majorBidi" w:cstheme="majorBidi"/>
          <w:sz w:val="24"/>
          <w:szCs w:val="24"/>
          <w:lang w:eastAsia="ar-SA"/>
        </w:rPr>
        <w:t xml:space="preserve">La formation en </w:t>
      </w:r>
      <w:r>
        <w:rPr>
          <w:rFonts w:asciiTheme="majorBidi" w:eastAsia="Times New Roman" w:hAnsiTheme="majorBidi" w:cstheme="majorBidi"/>
          <w:sz w:val="24"/>
          <w:szCs w:val="24"/>
          <w:lang w:eastAsia="ar-SA"/>
        </w:rPr>
        <w:t>Protection des écosystèmes</w:t>
      </w:r>
      <w:r w:rsidRPr="003A543D">
        <w:rPr>
          <w:rFonts w:asciiTheme="majorBidi" w:eastAsia="Times New Roman" w:hAnsiTheme="majorBidi" w:cstheme="majorBidi"/>
          <w:sz w:val="24"/>
          <w:szCs w:val="24"/>
          <w:lang w:eastAsia="ar-SA"/>
        </w:rPr>
        <w:t xml:space="preserve"> conduisant à l’obtention du diplôme de Master, accessible de droit aux étudiants ayant suivi les enseignements de la licence Ecologie et Environnement. </w:t>
      </w:r>
    </w:p>
    <w:p w:rsidR="002E5738" w:rsidRPr="00F728F8" w:rsidRDefault="002E5738" w:rsidP="00F30DC2">
      <w:pPr>
        <w:pStyle w:val="Paragraphedeliste"/>
        <w:spacing w:line="240" w:lineRule="auto"/>
        <w:ind w:left="644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F728F8" w:rsidRDefault="00F728F8" w:rsidP="00F728F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</w:t>
      </w:r>
      <w:r w:rsidRPr="00224D33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rogression et 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E</w:t>
      </w:r>
      <w:r w:rsidRPr="00224D33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valuation</w:t>
      </w:r>
    </w:p>
    <w:p w:rsidR="005D52D4" w:rsidRPr="003A543D" w:rsidRDefault="005D52D4" w:rsidP="005D52D4">
      <w:pPr>
        <w:pStyle w:val="Paragraphedeliste"/>
        <w:spacing w:line="240" w:lineRule="auto"/>
        <w:ind w:left="786" w:right="55"/>
        <w:jc w:val="both"/>
        <w:rPr>
          <w:rFonts w:asciiTheme="majorBidi" w:hAnsiTheme="majorBidi" w:cstheme="majorBidi"/>
          <w:sz w:val="24"/>
          <w:szCs w:val="24"/>
        </w:rPr>
      </w:pPr>
      <w:r w:rsidRPr="003A543D">
        <w:rPr>
          <w:rFonts w:asciiTheme="majorBidi" w:hAnsiTheme="majorBidi" w:cstheme="majorBidi"/>
          <w:sz w:val="24"/>
          <w:szCs w:val="24"/>
        </w:rPr>
        <w:t>La formation s'articule autour de matières fondamentales, méthodologiques et transversales, complétées par des travaux de terrain.</w:t>
      </w:r>
    </w:p>
    <w:p w:rsidR="005D52D4" w:rsidRPr="003A543D" w:rsidRDefault="005D52D4" w:rsidP="005D52D4">
      <w:pPr>
        <w:pStyle w:val="Paragraphedeliste"/>
        <w:spacing w:line="240" w:lineRule="auto"/>
        <w:ind w:left="786" w:right="55"/>
        <w:jc w:val="both"/>
        <w:rPr>
          <w:rFonts w:asciiTheme="majorBidi" w:hAnsiTheme="majorBidi" w:cstheme="majorBidi"/>
          <w:sz w:val="24"/>
          <w:szCs w:val="24"/>
        </w:rPr>
      </w:pPr>
      <w:r w:rsidRPr="003A543D">
        <w:rPr>
          <w:rFonts w:asciiTheme="majorBidi" w:hAnsiTheme="majorBidi" w:cstheme="majorBidi"/>
          <w:sz w:val="24"/>
          <w:szCs w:val="24"/>
        </w:rPr>
        <w:t xml:space="preserve">L'évaluation continue garantit l'acquisition des compétences tout au long du semestre pour chaque matière : </w:t>
      </w:r>
      <w:r w:rsidRPr="003A543D">
        <w:rPr>
          <w:rStyle w:val="lev"/>
          <w:rFonts w:asciiTheme="majorBidi" w:hAnsiTheme="majorBidi" w:cstheme="majorBidi"/>
          <w:sz w:val="24"/>
          <w:szCs w:val="24"/>
        </w:rPr>
        <w:t>Contrôle Continu (CC) :</w:t>
      </w:r>
      <w:r w:rsidRPr="003A543D">
        <w:rPr>
          <w:rFonts w:asciiTheme="majorBidi" w:hAnsiTheme="majorBidi" w:cstheme="majorBidi"/>
          <w:sz w:val="24"/>
          <w:szCs w:val="24"/>
        </w:rPr>
        <w:t xml:space="preserve"> Évaluation des travaux dirigés (TD), des comptes-rendus de travaux pratiques (TP), des exposés et des rapports de sorties sur le terrain. Il compte généralement pour 40% de la note finale.</w:t>
      </w:r>
    </w:p>
    <w:p w:rsidR="005D52D4" w:rsidRPr="003A543D" w:rsidRDefault="005D52D4" w:rsidP="005D52D4">
      <w:pPr>
        <w:pStyle w:val="Paragraphedeliste"/>
        <w:spacing w:line="240" w:lineRule="auto"/>
        <w:ind w:left="786" w:right="55"/>
        <w:jc w:val="both"/>
        <w:rPr>
          <w:rFonts w:asciiTheme="majorBidi" w:hAnsiTheme="majorBidi" w:cstheme="majorBidi"/>
          <w:sz w:val="24"/>
          <w:szCs w:val="24"/>
        </w:rPr>
      </w:pPr>
      <w:r w:rsidRPr="003A543D">
        <w:rPr>
          <w:rStyle w:val="lev"/>
          <w:rFonts w:asciiTheme="majorBidi" w:hAnsiTheme="majorBidi" w:cstheme="majorBidi"/>
          <w:sz w:val="24"/>
          <w:szCs w:val="24"/>
        </w:rPr>
        <w:t>Examen Final (Épreuve écrite) :</w:t>
      </w:r>
      <w:r w:rsidRPr="003A543D">
        <w:rPr>
          <w:rFonts w:asciiTheme="majorBidi" w:hAnsiTheme="majorBidi" w:cstheme="majorBidi"/>
          <w:sz w:val="24"/>
          <w:szCs w:val="24"/>
        </w:rPr>
        <w:t xml:space="preserve"> Organisé à la fin de chaque semestre, il évalue l'assimilation globale des concepts théoriques et représente 60 % de la note finale de la matière</w:t>
      </w:r>
    </w:p>
    <w:p w:rsidR="005D52D4" w:rsidRPr="00224D33" w:rsidRDefault="005D52D4" w:rsidP="005D52D4">
      <w:pPr>
        <w:pStyle w:val="Paragraphedeliste"/>
        <w:spacing w:line="240" w:lineRule="auto"/>
        <w:ind w:left="786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</w:p>
    <w:p w:rsidR="0005661D" w:rsidRPr="0005661D" w:rsidRDefault="0005661D" w:rsidP="0005661D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Possibilités</w:t>
      </w:r>
      <w:r w:rsidRPr="0005661D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  <w:t xml:space="preserve"> </w:t>
      </w:r>
      <w:r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d'emploi après l'obtention du diplôme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5D52D4" w:rsidRPr="001B02EC" w:rsidRDefault="005D52D4" w:rsidP="003C1C34">
      <w:pPr>
        <w:tabs>
          <w:tab w:val="left" w:pos="426"/>
        </w:tabs>
        <w:autoSpaceDE w:val="0"/>
        <w:autoSpaceDN w:val="0"/>
        <w:adjustRightInd w:val="0"/>
        <w:ind w:left="567"/>
        <w:jc w:val="both"/>
        <w:rPr>
          <w:rFonts w:asciiTheme="majorBidi" w:hAnsiTheme="majorBidi" w:cstheme="majorBidi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5 grands types d'emplois correspondront aux compétences acquises par les stagiaires :</w:t>
      </w:r>
    </w:p>
    <w:p w:rsidR="005D52D4" w:rsidRPr="001B02EC" w:rsidRDefault="005D52D4" w:rsidP="005D52D4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mallCaps/>
        </w:rPr>
      </w:pPr>
      <w:r w:rsidRPr="001B02EC">
        <w:rPr>
          <w:rFonts w:asciiTheme="majorBidi" w:eastAsia="Times New Roman" w:hAnsiTheme="majorBidi" w:cstheme="majorBidi"/>
          <w:b/>
          <w:bCs/>
          <w:smallCaps/>
        </w:rPr>
        <w:t>E1. Administrations publiques en charge de la stratégie de mise en place des SEP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 xml:space="preserve">Haut-commissariat du développement de la steppe, Direction générale des forêts, Conservation des Forêts, Institut national de </w:t>
      </w:r>
      <w:proofErr w:type="gramStart"/>
      <w:r w:rsidRPr="001B02EC">
        <w:rPr>
          <w:rFonts w:asciiTheme="majorBidi" w:eastAsia="Times New Roman" w:hAnsiTheme="majorBidi" w:cstheme="majorBidi"/>
          <w:bCs/>
          <w:szCs w:val="20"/>
        </w:rPr>
        <w:t>recherches forestière</w:t>
      </w:r>
      <w:proofErr w:type="gramEnd"/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Centre National de Recherche sur la Biodiversité (MATET)</w:t>
      </w:r>
    </w:p>
    <w:p w:rsidR="005D52D4" w:rsidRPr="001B02EC" w:rsidRDefault="005D52D4" w:rsidP="005D52D4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b/>
          <w:bCs/>
          <w:smallCaps/>
        </w:rPr>
      </w:pPr>
      <w:r w:rsidRPr="001B02EC">
        <w:rPr>
          <w:rFonts w:asciiTheme="majorBidi" w:eastAsia="Times New Roman" w:hAnsiTheme="majorBidi" w:cstheme="majorBidi"/>
          <w:b/>
          <w:bCs/>
          <w:smallCaps/>
        </w:rPr>
        <w:t>E2. Emplois cadres sur le terrain (directions régionales chargées des SEP)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Parcs nationaux et aires protégées (cadres chargés d’aménagement, de suivi écologique, de valorisation des ressources)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Observatoires de l’environnement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lastRenderedPageBreak/>
        <w:t>Services environnementaux des collectivités locales (jardins du HAMA, Alger)</w:t>
      </w:r>
    </w:p>
    <w:p w:rsidR="005D52D4" w:rsidRPr="001B02EC" w:rsidRDefault="005D52D4" w:rsidP="005D52D4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b/>
          <w:bCs/>
          <w:smallCaps/>
        </w:rPr>
      </w:pPr>
      <w:r w:rsidRPr="001B02EC">
        <w:rPr>
          <w:rFonts w:asciiTheme="majorBidi" w:eastAsia="Times New Roman" w:hAnsiTheme="majorBidi" w:cstheme="majorBidi"/>
          <w:b/>
          <w:bCs/>
          <w:smallCaps/>
        </w:rPr>
        <w:t>E3. Entreprises et concessions privées intervenant dans la valorisation des SEP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Concessions des exploitations forestières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Réserves de chasse, de pêche</w:t>
      </w:r>
    </w:p>
    <w:p w:rsidR="005D52D4" w:rsidRPr="001B02EC" w:rsidRDefault="005D52D4" w:rsidP="005D52D4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b/>
          <w:bCs/>
          <w:smallCaps/>
        </w:rPr>
      </w:pPr>
      <w:r w:rsidRPr="001B02EC">
        <w:rPr>
          <w:rFonts w:asciiTheme="majorBidi" w:eastAsia="Times New Roman" w:hAnsiTheme="majorBidi" w:cstheme="majorBidi"/>
          <w:b/>
          <w:bCs/>
          <w:smallCaps/>
        </w:rPr>
        <w:t>E4. Organismes chargés de la mise en œuvre des stratégies de gestion des SEP :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Bailleurs de fonds multilatéraux (UICN, WWF)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Bureaux d’études publics (BNEDER) et privés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Organisations intergouvernementales (PNUD, FEM) et non gouvernementales (UNESCO, MAB)</w:t>
      </w:r>
    </w:p>
    <w:p w:rsidR="005D52D4" w:rsidRPr="001B02EC" w:rsidRDefault="005D52D4" w:rsidP="005D52D4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mallCaps/>
        </w:rPr>
      </w:pPr>
      <w:r w:rsidRPr="001B02EC">
        <w:rPr>
          <w:rFonts w:asciiTheme="majorBidi" w:eastAsia="Times New Roman" w:hAnsiTheme="majorBidi" w:cstheme="majorBidi"/>
          <w:b/>
          <w:bCs/>
          <w:smallCaps/>
        </w:rPr>
        <w:t>E5. I</w:t>
      </w:r>
      <w:r w:rsidRPr="001B02EC">
        <w:rPr>
          <w:rFonts w:asciiTheme="majorBidi" w:hAnsiTheme="majorBidi" w:cstheme="majorBidi"/>
          <w:b/>
          <w:bCs/>
          <w:smallCaps/>
        </w:rPr>
        <w:t>nstitutions de recherche et d'enseignement supérieur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Poursuite d’études doctorales</w:t>
      </w:r>
    </w:p>
    <w:p w:rsidR="005D52D4" w:rsidRPr="001B02EC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Activités de recherche</w:t>
      </w:r>
    </w:p>
    <w:p w:rsidR="002E5738" w:rsidRPr="005D52D4" w:rsidRDefault="005D52D4" w:rsidP="005D52D4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Times New Roman" w:hAnsiTheme="majorBidi" w:cstheme="majorBidi"/>
          <w:bCs/>
          <w:szCs w:val="20"/>
        </w:rPr>
      </w:pPr>
      <w:r w:rsidRPr="001B02EC">
        <w:rPr>
          <w:rFonts w:asciiTheme="majorBidi" w:eastAsia="Times New Roman" w:hAnsiTheme="majorBidi" w:cstheme="majorBidi"/>
          <w:bCs/>
          <w:szCs w:val="20"/>
        </w:rPr>
        <w:t>Gestion des jardins botaniques universitaires</w:t>
      </w:r>
      <w:r w:rsidR="002E5738" w:rsidRPr="005D52D4"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  <w:t>.</w:t>
      </w:r>
    </w:p>
    <w:p w:rsidR="00502312" w:rsidRPr="00502312" w:rsidRDefault="00502312" w:rsidP="008C37F5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S</w:t>
      </w:r>
      <w:r w:rsidRPr="00502312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uivi de l'étude </w:t>
      </w:r>
      <w:r w:rsidR="008C37F5"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après l'obtention du diplôme</w:t>
      </w:r>
      <w:r w:rsidR="008C37F5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:</w:t>
      </w:r>
    </w:p>
    <w:p w:rsidR="005D52D4" w:rsidRPr="005D52D4" w:rsidRDefault="005D52D4" w:rsidP="005D52D4">
      <w:pPr>
        <w:pStyle w:val="Paragraphedeliste"/>
        <w:ind w:left="786"/>
        <w:jc w:val="both"/>
        <w:rPr>
          <w:rFonts w:asciiTheme="majorBidi" w:hAnsiTheme="majorBidi" w:cstheme="majorBidi"/>
          <w:sz w:val="26"/>
          <w:szCs w:val="26"/>
        </w:rPr>
      </w:pPr>
      <w:r w:rsidRPr="005D52D4">
        <w:rPr>
          <w:rFonts w:asciiTheme="majorBidi" w:eastAsia="Times New Roman" w:hAnsiTheme="majorBidi" w:cstheme="majorBidi"/>
          <w:bCs/>
          <w:szCs w:val="20"/>
        </w:rPr>
        <w:t>Ces éventualités de passerelles avec d’autres spécialités sont envisagées. Les étudiants ayant des résultats satisfaisants de ce parcours, peuvent accéder aux écoles post doctorales en : Ecologie et Environnement, Ecologie Végétale.</w:t>
      </w:r>
    </w:p>
    <w:p w:rsidR="00833B5F" w:rsidRPr="001A6C7C" w:rsidRDefault="00833B5F" w:rsidP="00833B5F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Organisation des études et durée officielle du programme :</w:t>
      </w:r>
    </w:p>
    <w:p w:rsidR="00833B5F" w:rsidRDefault="00833B5F" w:rsidP="00833B5F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emestre</w:t>
      </w: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01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:</w:t>
      </w:r>
    </w:p>
    <w:tbl>
      <w:tblPr>
        <w:tblW w:w="10063" w:type="dxa"/>
        <w:tblInd w:w="354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984"/>
        <w:gridCol w:w="1199"/>
        <w:gridCol w:w="792"/>
        <w:gridCol w:w="758"/>
        <w:gridCol w:w="779"/>
        <w:gridCol w:w="1008"/>
        <w:gridCol w:w="642"/>
        <w:gridCol w:w="902"/>
        <w:gridCol w:w="1067"/>
        <w:gridCol w:w="932"/>
      </w:tblGrid>
      <w:tr w:rsidR="00F47D9E" w:rsidRPr="00F47D9E" w:rsidTr="00F47D9E">
        <w:trPr>
          <w:cantSplit/>
          <w:trHeight w:val="280"/>
        </w:trPr>
        <w:tc>
          <w:tcPr>
            <w:tcW w:w="1984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Unité d’Enseignement</w:t>
            </w:r>
          </w:p>
        </w:tc>
        <w:tc>
          <w:tcPr>
            <w:tcW w:w="119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VHS</w:t>
            </w:r>
          </w:p>
        </w:tc>
        <w:tc>
          <w:tcPr>
            <w:tcW w:w="3337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VH hebdomadaire</w:t>
            </w:r>
          </w:p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42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proofErr w:type="spellStart"/>
            <w:r w:rsidRPr="00F47D9E">
              <w:rPr>
                <w:b/>
                <w:sz w:val="21"/>
                <w:szCs w:val="21"/>
              </w:rPr>
              <w:t>Coeff</w:t>
            </w:r>
            <w:proofErr w:type="spellEnd"/>
          </w:p>
        </w:tc>
        <w:tc>
          <w:tcPr>
            <w:tcW w:w="902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Crédits</w:t>
            </w:r>
          </w:p>
        </w:tc>
        <w:tc>
          <w:tcPr>
            <w:tcW w:w="199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Mode d'évaluation</w:t>
            </w:r>
          </w:p>
        </w:tc>
      </w:tr>
      <w:tr w:rsidR="00F47D9E" w:rsidRPr="00F47D9E" w:rsidTr="00F47D9E">
        <w:trPr>
          <w:cantSplit/>
          <w:trHeight w:val="124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15 semaines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Cours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TD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TP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Travail</w:t>
            </w:r>
          </w:p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Personnel</w:t>
            </w:r>
          </w:p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Continu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Examen</w:t>
            </w: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UE fondamentales</w:t>
            </w:r>
          </w:p>
        </w:tc>
        <w:tc>
          <w:tcPr>
            <w:tcW w:w="8079" w:type="dxa"/>
            <w:gridSpan w:val="9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</w:rPr>
            </w:pP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UEF1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/>
              </w:rPr>
            </w:pPr>
            <w:r w:rsidRPr="00F47D9E">
              <w:rPr>
                <w:b/>
              </w:rPr>
              <w:t>09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/>
              </w:rPr>
            </w:pPr>
            <w:r w:rsidRPr="00F47D9E">
              <w:rPr>
                <w:b/>
              </w:rPr>
              <w:t>18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</w:rPr>
            </w:pP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widowControl w:val="0"/>
              <w:ind w:left="-57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 xml:space="preserve">Matière 1 : </w:t>
            </w:r>
            <w:r w:rsidRPr="00F47D9E">
              <w:rPr>
                <w:rFonts w:cstheme="majorBidi"/>
                <w:sz w:val="21"/>
                <w:szCs w:val="21"/>
              </w:rPr>
              <w:t>Structure des systèmes écologiques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67h30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03h00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ind w:left="57"/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82h30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03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06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40%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60%</w:t>
            </w: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ind w:left="-57"/>
              <w:rPr>
                <w:sz w:val="21"/>
                <w:szCs w:val="21"/>
              </w:rPr>
            </w:pPr>
            <w:r w:rsidRPr="00F47D9E">
              <w:rPr>
                <w:rFonts w:cstheme="majorBidi"/>
                <w:b/>
                <w:bCs/>
                <w:sz w:val="21"/>
                <w:szCs w:val="21"/>
              </w:rPr>
              <w:t xml:space="preserve">Matière 2 : </w:t>
            </w:r>
            <w:r w:rsidRPr="00F47D9E">
              <w:rPr>
                <w:rFonts w:cstheme="majorBidi"/>
                <w:sz w:val="21"/>
                <w:szCs w:val="21"/>
              </w:rPr>
              <w:t>Fonctionnement des systèmes écologiques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67h30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03h00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82h30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03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06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40%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60%</w:t>
            </w: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ind w:left="-57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 xml:space="preserve">Matière 3 : </w:t>
            </w:r>
            <w:r w:rsidRPr="00F47D9E">
              <w:rPr>
                <w:rFonts w:cstheme="majorBidi"/>
                <w:sz w:val="21"/>
                <w:szCs w:val="21"/>
              </w:rPr>
              <w:t>Défense des forêts contre les incendies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67h30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03h00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82h30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03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06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40%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sz w:val="21"/>
                <w:szCs w:val="21"/>
              </w:rPr>
              <w:t>60%</w:t>
            </w: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UE méthodologies</w:t>
            </w:r>
          </w:p>
        </w:tc>
        <w:tc>
          <w:tcPr>
            <w:tcW w:w="80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UEM1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05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09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rPr>
                <w:sz w:val="21"/>
                <w:szCs w:val="21"/>
              </w:rPr>
            </w:pPr>
            <w:r w:rsidRPr="00F47D9E">
              <w:rPr>
                <w:rFonts w:cstheme="majorBidi"/>
                <w:b/>
                <w:bCs/>
                <w:sz w:val="21"/>
                <w:szCs w:val="21"/>
              </w:rPr>
              <w:lastRenderedPageBreak/>
              <w:t xml:space="preserve">Matière 1 : </w:t>
            </w:r>
            <w:r w:rsidRPr="00F47D9E">
              <w:rPr>
                <w:rFonts w:cstheme="majorBidi"/>
                <w:sz w:val="21"/>
                <w:szCs w:val="21"/>
              </w:rPr>
              <w:t>Dégradation des écosystèmes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60h00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03h00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01h00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65h00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40%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60%</w:t>
            </w: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 xml:space="preserve">Matière 2 : </w:t>
            </w:r>
            <w:r w:rsidRPr="00F47D9E">
              <w:rPr>
                <w:rFonts w:cstheme="majorBidi"/>
                <w:sz w:val="21"/>
                <w:szCs w:val="21"/>
              </w:rPr>
              <w:t>Aménagement des écosystèmes I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45h00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55h00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40%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60%</w:t>
            </w: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UE découvertes</w:t>
            </w:r>
          </w:p>
        </w:tc>
        <w:tc>
          <w:tcPr>
            <w:tcW w:w="80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UED1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02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02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widowControl w:val="0"/>
              <w:ind w:right="133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 xml:space="preserve">Matière 1 : </w:t>
            </w:r>
            <w:r w:rsidRPr="00F47D9E">
              <w:rPr>
                <w:sz w:val="21"/>
                <w:szCs w:val="21"/>
              </w:rPr>
              <w:t xml:space="preserve">Aire protégée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22h30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00h30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02h30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40%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60%</w:t>
            </w: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Matière 2 :</w:t>
            </w:r>
            <w:r w:rsidRPr="00F47D9E">
              <w:rPr>
                <w:sz w:val="21"/>
                <w:szCs w:val="21"/>
              </w:rPr>
              <w:t xml:space="preserve"> Logiciels libres et open source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22h30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00h30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01h00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02h30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40%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60%</w:t>
            </w: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UE transversales</w:t>
            </w:r>
          </w:p>
        </w:tc>
        <w:tc>
          <w:tcPr>
            <w:tcW w:w="80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bCs/>
                <w:sz w:val="21"/>
                <w:szCs w:val="21"/>
              </w:rPr>
              <w:t>UET1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F47D9E" w:rsidRPr="00F47D9E" w:rsidTr="00F47D9E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rPr>
                <w:sz w:val="21"/>
                <w:szCs w:val="21"/>
              </w:rPr>
            </w:pPr>
            <w:r w:rsidRPr="00F47D9E">
              <w:rPr>
                <w:b/>
                <w:sz w:val="21"/>
                <w:szCs w:val="21"/>
              </w:rPr>
              <w:t xml:space="preserve">Matière 1 : </w:t>
            </w:r>
            <w:r w:rsidRPr="00F47D9E">
              <w:rPr>
                <w:bCs/>
                <w:sz w:val="21"/>
                <w:szCs w:val="21"/>
              </w:rPr>
              <w:t>Communication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22h30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02h30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9E" w:rsidRPr="00F47D9E" w:rsidRDefault="00F47D9E" w:rsidP="00323017">
            <w:pPr>
              <w:jc w:val="center"/>
              <w:rPr>
                <w:sz w:val="21"/>
                <w:szCs w:val="21"/>
              </w:rPr>
            </w:pPr>
            <w:r w:rsidRPr="00F47D9E">
              <w:rPr>
                <w:bCs/>
                <w:sz w:val="21"/>
                <w:szCs w:val="21"/>
              </w:rPr>
              <w:t>100%</w:t>
            </w:r>
          </w:p>
        </w:tc>
      </w:tr>
    </w:tbl>
    <w:p w:rsidR="00F47D9E" w:rsidRPr="002D5000" w:rsidRDefault="00F47D9E" w:rsidP="00F47D9E">
      <w:pPr>
        <w:pStyle w:val="Paragraphedeliste"/>
        <w:spacing w:line="240" w:lineRule="auto"/>
        <w:ind w:left="102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833B5F" w:rsidRPr="00623161" w:rsidRDefault="00833B5F" w:rsidP="00833B5F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emestre</w:t>
      </w: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2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tbl>
      <w:tblPr>
        <w:tblW w:w="4470" w:type="pct"/>
        <w:tblInd w:w="354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983"/>
        <w:gridCol w:w="601"/>
        <w:gridCol w:w="342"/>
        <w:gridCol w:w="601"/>
        <w:gridCol w:w="601"/>
        <w:gridCol w:w="601"/>
        <w:gridCol w:w="828"/>
        <w:gridCol w:w="601"/>
        <w:gridCol w:w="828"/>
        <w:gridCol w:w="828"/>
        <w:gridCol w:w="1738"/>
      </w:tblGrid>
      <w:tr w:rsidR="003B191B" w:rsidRPr="003B191B" w:rsidTr="003B191B">
        <w:trPr>
          <w:cantSplit/>
          <w:trHeight w:val="280"/>
        </w:trPr>
        <w:tc>
          <w:tcPr>
            <w:tcW w:w="1984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Unité d’Enseignement</w:t>
            </w:r>
          </w:p>
        </w:tc>
        <w:tc>
          <w:tcPr>
            <w:tcW w:w="6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VHS</w:t>
            </w:r>
          </w:p>
        </w:tc>
        <w:tc>
          <w:tcPr>
            <w:tcW w:w="2973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VH hebdomadaire</w:t>
            </w:r>
          </w:p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proofErr w:type="spellStart"/>
            <w:r w:rsidRPr="003B191B">
              <w:rPr>
                <w:b/>
                <w:sz w:val="20"/>
                <w:szCs w:val="20"/>
              </w:rPr>
              <w:t>Coeff</w:t>
            </w:r>
            <w:proofErr w:type="spellEnd"/>
          </w:p>
        </w:tc>
        <w:tc>
          <w:tcPr>
            <w:tcW w:w="828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Crédits</w:t>
            </w:r>
          </w:p>
        </w:tc>
        <w:tc>
          <w:tcPr>
            <w:tcW w:w="256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Mode d'évaluation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>15 semaines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Cours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TD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TP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Travail</w:t>
            </w:r>
          </w:p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Personnel</w:t>
            </w:r>
          </w:p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Continu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Examen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>UE fondamentales</w:t>
            </w:r>
          </w:p>
        </w:tc>
        <w:tc>
          <w:tcPr>
            <w:tcW w:w="7569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>UEF1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B191B" w:rsidRPr="003B191B" w:rsidTr="003B191B">
        <w:trPr>
          <w:cantSplit/>
          <w:trHeight w:val="194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widowControl w:val="0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 xml:space="preserve">Matière 1: </w:t>
            </w:r>
            <w:r w:rsidRPr="003B191B">
              <w:rPr>
                <w:rFonts w:cstheme="majorBidi"/>
                <w:sz w:val="20"/>
                <w:szCs w:val="20"/>
              </w:rPr>
              <w:t>Gestion et conservation des Ecosystèmes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67h30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03h00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01h30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82h30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40%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60%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 xml:space="preserve">Matière 2 : </w:t>
            </w:r>
            <w:r w:rsidRPr="003B191B">
              <w:rPr>
                <w:rFonts w:cstheme="majorBidi"/>
                <w:sz w:val="20"/>
                <w:szCs w:val="20"/>
              </w:rPr>
              <w:t>Aménagement des écosystèmes II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67h30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03h00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01h30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82h30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40%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60%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 xml:space="preserve">Matière 3 : </w:t>
            </w:r>
            <w:r w:rsidRPr="003B191B">
              <w:rPr>
                <w:rFonts w:cstheme="majorBidi"/>
                <w:sz w:val="20"/>
                <w:szCs w:val="20"/>
              </w:rPr>
              <w:t>Sylviculture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67h30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03h00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01h30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82h30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06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40%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sz w:val="20"/>
                <w:szCs w:val="20"/>
              </w:rPr>
              <w:t>60%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lastRenderedPageBreak/>
              <w:t>UE méthodologies</w:t>
            </w:r>
          </w:p>
        </w:tc>
        <w:tc>
          <w:tcPr>
            <w:tcW w:w="75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>UEM1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 xml:space="preserve">Matière 1 : </w:t>
            </w:r>
            <w:r w:rsidRPr="003B191B">
              <w:rPr>
                <w:rFonts w:cstheme="majorBidi"/>
                <w:sz w:val="20"/>
                <w:szCs w:val="20"/>
              </w:rPr>
              <w:t>Modélisation et SIG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60h00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03h00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01h00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65h00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40%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60%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B191B">
              <w:rPr>
                <w:rFonts w:cstheme="majorBidi"/>
                <w:b/>
                <w:bCs/>
                <w:sz w:val="20"/>
                <w:szCs w:val="20"/>
              </w:rPr>
              <w:t xml:space="preserve">Matière 2 : </w:t>
            </w:r>
            <w:r w:rsidRPr="003B191B">
              <w:rPr>
                <w:rFonts w:cstheme="majorBidi"/>
                <w:sz w:val="20"/>
                <w:szCs w:val="20"/>
              </w:rPr>
              <w:t>Economie Ecologique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45h00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01h30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55h00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40%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60%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>UE découvertes</w:t>
            </w:r>
          </w:p>
        </w:tc>
        <w:tc>
          <w:tcPr>
            <w:tcW w:w="75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>UED1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 xml:space="preserve">Matière 1 : </w:t>
            </w:r>
            <w:r w:rsidRPr="003B191B">
              <w:rPr>
                <w:sz w:val="20"/>
                <w:szCs w:val="20"/>
              </w:rPr>
              <w:t>Impact économique des problèmes environnementaux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22h30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01h00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00h30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02h30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40%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60%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91B" w:rsidRPr="003B191B" w:rsidRDefault="003B191B" w:rsidP="00323017">
            <w:pPr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 xml:space="preserve">Matière 2 : </w:t>
            </w:r>
            <w:r w:rsidRPr="003B191B">
              <w:rPr>
                <w:sz w:val="20"/>
                <w:szCs w:val="20"/>
              </w:rPr>
              <w:t>Programmation Informatique appliquée aux sciences et technologies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22h30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00h30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01h00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02h30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40%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60%</w:t>
            </w: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>UE transversales</w:t>
            </w:r>
          </w:p>
        </w:tc>
        <w:tc>
          <w:tcPr>
            <w:tcW w:w="75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bCs/>
                <w:sz w:val="20"/>
                <w:szCs w:val="20"/>
              </w:rPr>
              <w:t>UET1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B191B" w:rsidRPr="003B191B" w:rsidTr="003B191B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rPr>
                <w:sz w:val="20"/>
                <w:szCs w:val="20"/>
              </w:rPr>
            </w:pPr>
            <w:r w:rsidRPr="003B191B">
              <w:rPr>
                <w:b/>
                <w:sz w:val="20"/>
                <w:szCs w:val="20"/>
              </w:rPr>
              <w:t xml:space="preserve">Matière 1 : </w:t>
            </w:r>
            <w:r w:rsidRPr="003B191B">
              <w:rPr>
                <w:bCs/>
                <w:sz w:val="20"/>
                <w:szCs w:val="20"/>
              </w:rPr>
              <w:t>Législation, éthique et déontologie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22h30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02h30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3B191B" w:rsidRDefault="003B191B" w:rsidP="00323017">
            <w:pPr>
              <w:jc w:val="center"/>
              <w:rPr>
                <w:sz w:val="20"/>
                <w:szCs w:val="20"/>
              </w:rPr>
            </w:pPr>
            <w:r w:rsidRPr="003B191B">
              <w:rPr>
                <w:bCs/>
                <w:sz w:val="20"/>
                <w:szCs w:val="20"/>
              </w:rPr>
              <w:t>100%</w:t>
            </w:r>
          </w:p>
        </w:tc>
      </w:tr>
    </w:tbl>
    <w:p w:rsidR="00833B5F" w:rsidRDefault="00833B5F" w:rsidP="00833B5F">
      <w:pPr>
        <w:pStyle w:val="Paragraphedeliste"/>
        <w:ind w:left="502"/>
        <w:jc w:val="right"/>
        <w:rPr>
          <w:lang w:eastAsia="en-US" w:bidi="ar-DZ"/>
        </w:rPr>
      </w:pPr>
    </w:p>
    <w:p w:rsidR="003B191B" w:rsidRPr="00623161" w:rsidRDefault="003B191B" w:rsidP="003B191B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emestre</w:t>
      </w: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3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tbl>
      <w:tblPr>
        <w:tblW w:w="4511" w:type="pct"/>
        <w:tblInd w:w="354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984"/>
        <w:gridCol w:w="986"/>
        <w:gridCol w:w="717"/>
        <w:gridCol w:w="623"/>
        <w:gridCol w:w="623"/>
        <w:gridCol w:w="858"/>
        <w:gridCol w:w="717"/>
        <w:gridCol w:w="783"/>
        <w:gridCol w:w="1072"/>
        <w:gridCol w:w="1277"/>
      </w:tblGrid>
      <w:tr w:rsidR="003B191B" w:rsidRPr="00D75DCF" w:rsidTr="00D75DCF">
        <w:trPr>
          <w:cantSplit/>
          <w:trHeight w:val="280"/>
        </w:trPr>
        <w:tc>
          <w:tcPr>
            <w:tcW w:w="1984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Unité d’Enseignement</w:t>
            </w:r>
          </w:p>
        </w:tc>
        <w:tc>
          <w:tcPr>
            <w:tcW w:w="9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VHS</w:t>
            </w:r>
          </w:p>
        </w:tc>
        <w:tc>
          <w:tcPr>
            <w:tcW w:w="282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VH hebdomadaire</w:t>
            </w:r>
          </w:p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17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proofErr w:type="spellStart"/>
            <w:r w:rsidRPr="00D75DCF">
              <w:rPr>
                <w:b/>
                <w:sz w:val="21"/>
                <w:szCs w:val="21"/>
              </w:rPr>
              <w:t>Coeff</w:t>
            </w:r>
            <w:proofErr w:type="spellEnd"/>
          </w:p>
        </w:tc>
        <w:tc>
          <w:tcPr>
            <w:tcW w:w="783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Crédits</w:t>
            </w:r>
          </w:p>
        </w:tc>
        <w:tc>
          <w:tcPr>
            <w:tcW w:w="234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Mode d'évaluation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15 semaines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Cours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TD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TP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Travail</w:t>
            </w:r>
          </w:p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Personnel</w:t>
            </w:r>
          </w:p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Continu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Examen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UE fondamentales</w:t>
            </w:r>
          </w:p>
        </w:tc>
        <w:tc>
          <w:tcPr>
            <w:tcW w:w="7656" w:type="dxa"/>
            <w:gridSpan w:val="9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UEF1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09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18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widowControl w:val="0"/>
              <w:ind w:right="133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lastRenderedPageBreak/>
              <w:t xml:space="preserve">Matière 1 : </w:t>
            </w:r>
            <w:r w:rsidRPr="00D75DCF">
              <w:rPr>
                <w:rFonts w:cstheme="majorBidi"/>
                <w:sz w:val="21"/>
                <w:szCs w:val="21"/>
              </w:rPr>
              <w:t>Élaboration du plan d’action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67h30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03h00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82h30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03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06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40%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60%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 xml:space="preserve">Matière 2 : </w:t>
            </w:r>
            <w:r w:rsidRPr="00D75DCF">
              <w:rPr>
                <w:rFonts w:cstheme="majorBidi"/>
              </w:rPr>
              <w:t>Eco toxicologie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67h30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03h00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82h30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03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06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40%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60%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 xml:space="preserve">Matière 3 : </w:t>
            </w:r>
            <w:r w:rsidRPr="00D75DCF">
              <w:rPr>
                <w:rFonts w:cstheme="majorBidi"/>
                <w:sz w:val="21"/>
                <w:szCs w:val="21"/>
              </w:rPr>
              <w:t>Protection des sols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67h30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03h00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82h30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03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06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40%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sz w:val="21"/>
                <w:szCs w:val="21"/>
              </w:rPr>
              <w:t>60%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UE méthodologies</w:t>
            </w:r>
          </w:p>
        </w:tc>
        <w:tc>
          <w:tcPr>
            <w:tcW w:w="76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UEM1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05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09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 xml:space="preserve">Matière 1 : </w:t>
            </w:r>
            <w:r w:rsidRPr="00D75DCF">
              <w:rPr>
                <w:rFonts w:cstheme="majorBidi"/>
                <w:sz w:val="21"/>
                <w:szCs w:val="21"/>
              </w:rPr>
              <w:t>Ressources Biologiques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60h00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03h00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01h00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65h00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05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40%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60%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 xml:space="preserve">Matière 2 : </w:t>
            </w:r>
            <w:r w:rsidRPr="00D75DCF">
              <w:rPr>
                <w:rFonts w:cstheme="majorBidi"/>
                <w:sz w:val="21"/>
                <w:szCs w:val="21"/>
              </w:rPr>
              <w:t>Recherche et rédaction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45h00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55h00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40%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60%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UE découvertes</w:t>
            </w:r>
          </w:p>
        </w:tc>
        <w:tc>
          <w:tcPr>
            <w:tcW w:w="76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UED1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02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02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 xml:space="preserve">Matière 1 : </w:t>
            </w:r>
            <w:r w:rsidRPr="00D75DCF">
              <w:t>Restauration écologique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22h30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01h00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00h30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40%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60%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91B" w:rsidRPr="00D75DCF" w:rsidRDefault="003B191B" w:rsidP="00323017">
            <w:pPr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Matière 2 :</w:t>
            </w:r>
            <w:r w:rsidRPr="00D75DCF">
              <w:rPr>
                <w:sz w:val="21"/>
                <w:szCs w:val="21"/>
              </w:rPr>
              <w:t xml:space="preserve"> l’IA appliquée aux sciences et technologie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22h30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00h30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01h00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40%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60%</w:t>
            </w: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UE transversales</w:t>
            </w:r>
          </w:p>
        </w:tc>
        <w:tc>
          <w:tcPr>
            <w:tcW w:w="76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bCs/>
                <w:sz w:val="21"/>
                <w:szCs w:val="21"/>
              </w:rPr>
              <w:t>UET1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:rsidR="003B191B" w:rsidRPr="00D75DCF" w:rsidTr="00D75DCF">
        <w:trPr>
          <w:cantSplit/>
          <w:trHeight w:val="2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rPr>
                <w:sz w:val="21"/>
                <w:szCs w:val="21"/>
              </w:rPr>
            </w:pPr>
            <w:r w:rsidRPr="00D75DCF">
              <w:rPr>
                <w:b/>
                <w:sz w:val="21"/>
                <w:szCs w:val="21"/>
              </w:rPr>
              <w:t xml:space="preserve">Matière 1 : </w:t>
            </w:r>
            <w:r w:rsidRPr="00D75DCF">
              <w:rPr>
                <w:bCs/>
                <w:sz w:val="21"/>
                <w:szCs w:val="21"/>
              </w:rPr>
              <w:t>Création d’une entreprise économique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22h30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01h30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02h30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01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91B" w:rsidRPr="00D75DCF" w:rsidRDefault="003B191B" w:rsidP="00323017">
            <w:pPr>
              <w:jc w:val="center"/>
              <w:rPr>
                <w:sz w:val="21"/>
                <w:szCs w:val="21"/>
              </w:rPr>
            </w:pPr>
            <w:r w:rsidRPr="00D75DCF">
              <w:rPr>
                <w:bCs/>
                <w:sz w:val="21"/>
                <w:szCs w:val="21"/>
              </w:rPr>
              <w:t>100%</w:t>
            </w:r>
          </w:p>
        </w:tc>
      </w:tr>
    </w:tbl>
    <w:p w:rsidR="003B191B" w:rsidRDefault="003B191B" w:rsidP="00833B5F">
      <w:pPr>
        <w:pStyle w:val="Paragraphedeliste"/>
        <w:ind w:left="502"/>
        <w:jc w:val="right"/>
        <w:rPr>
          <w:rtl/>
          <w:lang w:eastAsia="en-US" w:bidi="ar-DZ"/>
        </w:rPr>
      </w:pPr>
    </w:p>
    <w:p w:rsidR="00833B5F" w:rsidRDefault="00833B5F" w:rsidP="00833B5F">
      <w:pPr>
        <w:spacing w:line="240" w:lineRule="auto"/>
        <w:ind w:left="284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</w:p>
    <w:p w:rsidR="002E5738" w:rsidRDefault="002E5738" w:rsidP="002E573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2E5738" w:rsidRDefault="002E5738" w:rsidP="002E5738">
      <w:pPr>
        <w:pStyle w:val="Paragraphedeliste"/>
        <w:ind w:left="502"/>
        <w:jc w:val="right"/>
        <w:rPr>
          <w:rtl/>
          <w:lang w:eastAsia="en-US" w:bidi="ar-DZ"/>
        </w:rPr>
      </w:pPr>
    </w:p>
    <w:p w:rsidR="00CA2B27" w:rsidRDefault="00CA2B27"/>
    <w:sectPr w:rsidR="00CA2B27" w:rsidSect="002E5738">
      <w:pgSz w:w="11906" w:h="16838" w:code="9"/>
      <w:pgMar w:top="794" w:right="794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207C6B8B"/>
    <w:multiLevelType w:val="hybridMultilevel"/>
    <w:tmpl w:val="C9AC8AB0"/>
    <w:lvl w:ilvl="0" w:tplc="28B8A924">
      <w:start w:val="1"/>
      <w:numFmt w:val="bullet"/>
      <w:lvlText w:val="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E3BA2"/>
    <w:multiLevelType w:val="hybridMultilevel"/>
    <w:tmpl w:val="F4F4BF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70F2E"/>
    <w:multiLevelType w:val="hybridMultilevel"/>
    <w:tmpl w:val="85406C0C"/>
    <w:lvl w:ilvl="0" w:tplc="AB323B2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E922039"/>
    <w:multiLevelType w:val="hybridMultilevel"/>
    <w:tmpl w:val="AE66EEB4"/>
    <w:lvl w:ilvl="0" w:tplc="335CD08C">
      <w:numFmt w:val="bullet"/>
      <w:lvlText w:val="-"/>
      <w:lvlJc w:val="left"/>
      <w:pPr>
        <w:ind w:left="644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1FB6EDB"/>
    <w:multiLevelType w:val="hybridMultilevel"/>
    <w:tmpl w:val="8EACD5E4"/>
    <w:lvl w:ilvl="0" w:tplc="28B8A924">
      <w:start w:val="1"/>
      <w:numFmt w:val="bullet"/>
      <w:lvlText w:val="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2563E6"/>
    <w:multiLevelType w:val="hybridMultilevel"/>
    <w:tmpl w:val="23E4408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D25263"/>
    <w:multiLevelType w:val="hybridMultilevel"/>
    <w:tmpl w:val="B2A0349E"/>
    <w:lvl w:ilvl="0" w:tplc="040C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528D3DD1"/>
    <w:multiLevelType w:val="hybridMultilevel"/>
    <w:tmpl w:val="4C26AD1E"/>
    <w:lvl w:ilvl="0" w:tplc="AB323B2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5D611494"/>
    <w:multiLevelType w:val="hybridMultilevel"/>
    <w:tmpl w:val="6672A20C"/>
    <w:lvl w:ilvl="0" w:tplc="28B8A9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E5738"/>
    <w:rsid w:val="0005661D"/>
    <w:rsid w:val="0006508E"/>
    <w:rsid w:val="000A41B7"/>
    <w:rsid w:val="000C6374"/>
    <w:rsid w:val="000F4405"/>
    <w:rsid w:val="001A56F4"/>
    <w:rsid w:val="001A6C7C"/>
    <w:rsid w:val="00224D33"/>
    <w:rsid w:val="00244063"/>
    <w:rsid w:val="00250F87"/>
    <w:rsid w:val="00262C89"/>
    <w:rsid w:val="00263905"/>
    <w:rsid w:val="002976E6"/>
    <w:rsid w:val="002D5000"/>
    <w:rsid w:val="002E5738"/>
    <w:rsid w:val="00301CAA"/>
    <w:rsid w:val="00302185"/>
    <w:rsid w:val="00320178"/>
    <w:rsid w:val="003B191B"/>
    <w:rsid w:val="003B2670"/>
    <w:rsid w:val="003C1C34"/>
    <w:rsid w:val="00424919"/>
    <w:rsid w:val="00490174"/>
    <w:rsid w:val="00502312"/>
    <w:rsid w:val="005D52D4"/>
    <w:rsid w:val="005E0AD0"/>
    <w:rsid w:val="0061175F"/>
    <w:rsid w:val="00623161"/>
    <w:rsid w:val="006D79EC"/>
    <w:rsid w:val="007147F9"/>
    <w:rsid w:val="00730427"/>
    <w:rsid w:val="00833B5F"/>
    <w:rsid w:val="008B6C73"/>
    <w:rsid w:val="008C37F5"/>
    <w:rsid w:val="00904222"/>
    <w:rsid w:val="009143DF"/>
    <w:rsid w:val="0092166C"/>
    <w:rsid w:val="009B17A9"/>
    <w:rsid w:val="009F2E0C"/>
    <w:rsid w:val="00A22630"/>
    <w:rsid w:val="00A93F5B"/>
    <w:rsid w:val="00AD2181"/>
    <w:rsid w:val="00B111A4"/>
    <w:rsid w:val="00B11968"/>
    <w:rsid w:val="00B63A1E"/>
    <w:rsid w:val="00B65A54"/>
    <w:rsid w:val="00BA0C75"/>
    <w:rsid w:val="00BC730C"/>
    <w:rsid w:val="00C4443F"/>
    <w:rsid w:val="00C85E1B"/>
    <w:rsid w:val="00CA2B27"/>
    <w:rsid w:val="00CB3686"/>
    <w:rsid w:val="00D27069"/>
    <w:rsid w:val="00D75DCF"/>
    <w:rsid w:val="00DE5543"/>
    <w:rsid w:val="00EA5080"/>
    <w:rsid w:val="00EF5D97"/>
    <w:rsid w:val="00F30DC2"/>
    <w:rsid w:val="00F47D9E"/>
    <w:rsid w:val="00F64850"/>
    <w:rsid w:val="00F72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F4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E573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E5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02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2185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F30D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30D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lev">
    <w:name w:val="Strong"/>
    <w:basedOn w:val="Policepardfaut"/>
    <w:uiPriority w:val="22"/>
    <w:qFormat/>
    <w:rsid w:val="005D52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1005</Words>
  <Characters>5528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teste</cp:lastModifiedBy>
  <cp:revision>5</cp:revision>
  <dcterms:created xsi:type="dcterms:W3CDTF">2026-07-15T18:25:00Z</dcterms:created>
  <dcterms:modified xsi:type="dcterms:W3CDTF">2026-07-15T19:04:00Z</dcterms:modified>
</cp:coreProperties>
</file>